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ind w:left="75" w:hang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BILANS JEDNOSTKI BUDŻETOWEJ I SAMORZĄDOWEGO ZAKŁADU BUDŻETOWEGO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10322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604"/>
        <w:gridCol w:w="1260"/>
        <w:gridCol w:w="1260"/>
        <w:gridCol w:w="2701"/>
        <w:gridCol w:w="1260"/>
        <w:gridCol w:w="1236"/>
      </w:tblGrid>
      <w:tr>
        <w:trPr/>
        <w:tc>
          <w:tcPr>
            <w:tcW w:w="38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Nazwa i adres </w:t>
              <w:br/>
              <w:t xml:space="preserve">jednostki sprawozdawczej </w:t>
              <w:br/>
            </w:r>
          </w:p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ŁOBEK MIEJSKI WESOŁA ŁĄKA</w:t>
              <w:br/>
              <w:t>Numer identyfikacyjny REGON</w:t>
            </w:r>
          </w:p>
        </w:tc>
        <w:tc>
          <w:tcPr>
            <w:tcW w:w="3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BILANS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jednostki budżetowej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 samorządowego zakładu budżetowego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sporządzony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na dzień 31.12.2022 r.</w:t>
            </w:r>
          </w:p>
        </w:tc>
        <w:tc>
          <w:tcPr>
            <w:tcW w:w="24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Adresat </w:t>
            </w:r>
          </w:p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sz w:val="16"/>
              </w:rPr>
              <w:t>URZĄD MIASTA KUTNO</w:t>
            </w:r>
          </w:p>
          <w:p>
            <w:pPr>
              <w:pStyle w:val="Normal"/>
              <w:spacing w:lineRule="atLeast" w:line="200"/>
              <w:jc w:val="center"/>
              <w:rPr>
                <w:sz w:val="16"/>
              </w:rPr>
            </w:pPr>
            <w:r>
              <w:rPr>
                <w:sz w:val="16"/>
              </w:rPr>
              <w:t>WYDZIAŁ FINANSÓW I BUDŻETU</w:t>
              <w:br/>
            </w:r>
            <w:r>
              <w:rPr>
                <w:sz w:val="14"/>
              </w:rPr>
              <w:t>Wysłać bez pisma przewodniego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AKTYWA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Stan na początek roku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Stan na 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koniec roku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PASYWA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Stan na 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początek 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roku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Stan na 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koniec roku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Aktywa trwałe</w:t>
            </w:r>
          </w:p>
          <w:p>
            <w:pPr>
              <w:pStyle w:val="Normal"/>
              <w:spacing w:lineRule="atLeast" w:line="200"/>
              <w:ind w:left="720" w:hanging="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25 795,89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19 750,32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A. Fundusz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- 73 416,62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- 59 063,53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I. Wartości niematerialne i prawne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I. Fundusz jednostki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1 256 166,18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1 365 848,04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II. Rzeczowe aktywa trwałe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25 795,89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19 750,32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II. Wynik finansowy netto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(+, -)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- 1 329 582,80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- 1 424 911,57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1. Środki trwałe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25 795,89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19 750,32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1.1. Zysk netto (+)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Grunty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1.2. Strata netto (-)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- 1 329 582,80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- 1 424 911,57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1.1.1.Grunty stanowiące własność jednostki samorządu terytorialnego, przekazane w użytkowanie wieczyste innym podmiotom.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III. Odpisy z wyniku finansowego ( nadwyżka środków budżetowych) (-)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1.2. Budynki, lokale i obiekty 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inżynierii lądowej i wodnej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IV. Fundusz mienia zlikwidowanych jednostek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12" w:hRule="atLeast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1.3. Urządzenia techniczne i maszyny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25 795,89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19 750,32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B. Fundusze placówek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C. Państwowe  fundusze celowe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1.4. Środki transportu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D. Zobowiązania i rezerwy na zobowiązania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131 602,56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128 239,49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1.5. Inne środki trwałe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I. Zobowiązania długoterminowe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Środki trwałe w budowie (inwestycje)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II. Zobowiązania krótkoterminowe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131 602,56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128 239,49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3. Zaliczki na środki trwałe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w budowie ( inwestycje)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 Zobowiązania z tytułu dostaw i usług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III. Należności długoterminowe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2. Zobowiązania wobec budżetów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IV. Długoterminowe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3. Zobowiązania z tytułu ubezpieczeń i innych świadczeń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49 817,31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41 673,57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1.1. Akcje i udziały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4. Zobowiązania z tytułu wynagrodzeń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77 454,78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76 641,39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1.2. Inne papiery wartościowe 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5. Pozostałe zobowiązania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65,91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45,67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1.3. Inne długoterminowe aktywa finansowe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6. Sumy obce (depozytowe, zabezpieczenie wykonania umów)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V. Wartość mienia zlikwidowanych jednostek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7. Rozliczenia z tytułu środków na wydatki budżetowe i z tytułu dochodów budżetowych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B. Aktywa obrotowe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32 390,05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center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49 425,64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8. Fundusze specjalne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4 264,56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9 878,86</w:t>
            </w:r>
          </w:p>
        </w:tc>
      </w:tr>
      <w:tr>
        <w:trPr>
          <w:trHeight w:val="498" w:hRule="atLeast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I. Zapasy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3 016,69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7 538,28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8. 1. Zakładowy Fundusz Świadczeń Socjalnych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4 264,56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9 878,86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 Materiały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8.2. Inne fundusze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2. Półprodukty i produkty w toku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III. Rezerwy na zobowiązania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3. Produkty gotowe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b/>
                <w:color w:val="000000"/>
                <w:sz w:val="16"/>
                <w:szCs w:val="16"/>
              </w:rPr>
              <w:t>IV. Rozliczenie międzyokresowe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4. Towary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3 016,69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7 538,28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II. Należności krótkoterminowe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25 108,80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32 008,50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 Należności z tytułu dostaw i usług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2. Należności od budżetów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3. Należności z tytułu ubezpieczeń i innych świadczeń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Pozostałe należności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25 108,80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32 008,50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5. Rozliczenia z tytułu środków na wydatki budżetowe i z tytułu dochodów budżetowych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III. Krótkoterminowe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4 264,56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9 878,86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 Środki pieniężne w kasie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2. Środki pieniężne na rachunkach bankowych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4 264,56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9 878,86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3. Środki pieniężne państwowego funduszu celowego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4. Inne środki pieniężne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5. Akcje lub udziały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6. Inne papiery wartościowe</w:t>
            </w:r>
          </w:p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7. Inne krótkoterminowe aktywa finansowe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IV. Rozliczenia międzyokresowe</w:t>
            </w:r>
          </w:p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Suma aktywów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58 185,94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69 175,96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Suma pasywów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58 185,94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righ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  <w:t>69 175,96</w:t>
            </w:r>
          </w:p>
        </w:tc>
      </w:tr>
    </w:tbl>
    <w:p>
      <w:pPr>
        <w:pStyle w:val="Normal"/>
        <w:spacing w:lineRule="auto" w:line="360"/>
        <w:ind w:left="75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8984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8984"/>
      </w:tblGrid>
      <w:tr>
        <w:trPr/>
        <w:tc>
          <w:tcPr>
            <w:tcW w:w="8984" w:type="dxa"/>
            <w:tcBorders/>
            <w:shd w:fill="auto" w:val="clear"/>
            <w:vAlign w:val="center"/>
          </w:tcPr>
          <w:p>
            <w:pPr>
              <w:pStyle w:val="NormalWeb"/>
              <w:spacing w:lineRule="atLeast" w:line="200" w:before="280" w:after="2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firstRow="1" w:noVBand="1" w:lastRow="0" w:firstColumn="1" w:lastColumn="0" w:noHBand="0" w:val="04a0"/>
            </w:tblPr>
            <w:tblGrid>
              <w:gridCol w:w="2676"/>
              <w:gridCol w:w="2910"/>
              <w:gridCol w:w="3278"/>
            </w:tblGrid>
            <w:tr>
              <w:trPr/>
              <w:tc>
                <w:tcPr>
                  <w:tcW w:w="26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Sylwia Krawczyk</w:t>
                    <w:br/>
                    <w:t>(główny księgowy)</w:t>
                  </w:r>
                </w:p>
              </w:tc>
              <w:tc>
                <w:tcPr>
                  <w:tcW w:w="29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2023-03-08</w:t>
                    <w:br/>
                    <w:t>(rok, miesiąc, dzień)</w:t>
                  </w:r>
                </w:p>
              </w:tc>
              <w:tc>
                <w:tcPr>
                  <w:tcW w:w="327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0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t>Katarzyna Wawrzyniak</w:t>
                  </w:r>
                  <w:bookmarkStart w:id="0" w:name="_GoBack"/>
                  <w:bookmarkEnd w:id="0"/>
                  <w:r>
                    <w:rPr>
                      <w:rFonts w:cs="Arial" w:ascii="Arial" w:hAnsi="Arial"/>
                      <w:color w:val="000000"/>
                      <w:sz w:val="16"/>
                      <w:szCs w:val="16"/>
                    </w:rPr>
                    <w:br/>
                    <w:t>(kierownik jednostki)</w:t>
                  </w:r>
                </w:p>
              </w:tc>
            </w:tr>
          </w:tbl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7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1519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262773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151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LibreOffice/6.0.5.2$Windows_x86 LibreOffice_project/54c8cbb85f300ac59db32fe8a675ff7683cd5a16</Application>
  <Pages>15</Pages>
  <Words>569</Words>
  <Characters>2850</Characters>
  <CharactersWithSpaces>3268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2023-05-11T08:51:00Z</dcterms:created>
  <dc:creator>PM16</dc:creator>
  <dc:description/>
  <dc:language>pl-PL</dc:language>
  <cp:lastModifiedBy/>
  <cp:lastPrinted>2023-02-14T13:12:00Z</cp:lastPrinted>
  <dcterms:modified xsi:type="dcterms:W3CDTF">2023-05-15T11:42:04Z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