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18"/>
        </w:rPr>
      </w:pPr>
      <w:r>
        <w:rPr>
          <w:rFonts w:ascii="Arial" w:hAnsi="Arial"/>
          <w:b/>
          <w:bCs/>
          <w:sz w:val="24"/>
          <w:szCs w:val="24"/>
        </w:rPr>
        <w:t>RACHUNEK ZYSKÓW I STRAT JEDNOSTKI   (WARIANT PORÓWNAWCZY)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00" w:type="dxa"/>
        <w:jc w:val="left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0"/>
        <w:gridCol w:w="2520"/>
        <w:gridCol w:w="3599"/>
        <w:gridCol w:w="1621"/>
        <w:gridCol w:w="1619"/>
      </w:tblGrid>
      <w:tr>
        <w:trPr>
          <w:trHeight w:val="446" w:hRule="atLeast"/>
          <w:cantSplit w:val="true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jc w:val="left"/>
              <w:rPr>
                <w:rFonts w:ascii="Arial" w:hAnsi="Arial"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ŁOBEK MIEJSKI WESOŁA ŁĄKA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Rachunek zysków i strat jednostki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(wariant porównawczy)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sporządzony na dzień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31.12.2021 roku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05" w:hRule="atLeast"/>
          <w:cantSplit w:val="true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Wysłać bez pisma przewodniego</w:t>
            </w:r>
          </w:p>
        </w:tc>
      </w:tr>
      <w:tr>
        <w:trPr>
          <w:trHeight w:val="311" w:hRule="atLeast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Stan na koniec roku poprzedniego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Stan na koniec roku bieżącego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Przychody netto z podstawowej działalności operacyjnej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186 805,70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261 524,70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Przychody netto ze sprzedaży produktów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Zmiana stanu produktów (zwiększenie – wartość dodatnia, zmniejszenie – wartość ujemna)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Koszt wytworzenia produktów na własne potrzeby jednostki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IV.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Przychody netto ze sprzedaży towarów i materiałów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V.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Dotacje na finansowanie działalności podstawowej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VI.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Przychody z tytułu dochodów budżetowych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186 805,70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261 524,70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Koszty działalności operacyjnej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1 344 801,10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1 591 168,72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Amortyzacja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795,57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795,57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Zużycie materiałów i energii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164 961,70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232 766,84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Usługi obce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38 356,62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47 370,52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IV.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Podatki i opłaty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V.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Wynagrodzenia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986 454,43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1 090 624,76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VI.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Ubezpieczenia społeczne i inne świadczenia dla pracowników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154 232,78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219 611,03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VII.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Pozostałe koszty rodzajowe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VIII.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Wartość sprzedanych towarów i materiałów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IX.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  <w:szCs w:val="20"/>
              </w:rPr>
            </w:pPr>
            <w:r>
              <w:rPr>
                <w:rFonts w:ascii="Arial" w:hAnsi="Arial"/>
                <w:sz w:val="24"/>
                <w:szCs w:val="24"/>
              </w:rPr>
              <w:t>Inne świadczenia finansowane z budżetu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X.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Pozostałe obciążenia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Zysk (strata) z działalności podstawowej (A-B)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- 1 157 995,40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- 1 329 644,02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Pozostałe przychody operacyjne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Zysk ze zbycia niefinansowych aktywów trwałych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Dotacje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Inne przychody operacyjne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Pozostałe koszty operacyjne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Pozostałe koszty operacyjne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Zysk (strata) z działalności operacyjnej (C+D-E)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- 1 157 995,40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- 1 329 644,02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Przychody finansowe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67,06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61,22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Dywidendy i udziały w zyskach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Odsetki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67,06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61,22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Inne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Koszty finansowe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I. 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Odsetki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Inne</w:t>
            </w:r>
          </w:p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Zysk (strata)  brutto  (F + G –H )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- 1 157 928,34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- 1 329 582,80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Podatek dochodowy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Pozostałe obowiązkowe zmniejszenia zysku (zwiększenia straty) 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L.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Zysk (strata) netto   (I-J-K)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>- 1 157 928,34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- 1329 582,80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Sylwia Krawczyk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 2022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-03-04                                </w:t>
      </w:r>
      <w:r>
        <w:rPr>
          <w:rFonts w:cs="Arial" w:ascii="Arial" w:hAnsi="Arial"/>
          <w:sz w:val="24"/>
          <w:szCs w:val="24"/>
        </w:rPr>
        <w:t>Małgorzata Łaszewska</w:t>
      </w:r>
      <w:r>
        <w:rPr>
          <w:rFonts w:cs="Arial" w:ascii="Arial" w:hAnsi="Arial"/>
          <w:sz w:val="24"/>
          <w:szCs w:val="24"/>
        </w:rPr>
        <w:t xml:space="preserve">  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(główny księgowy)           (rok  -  miesiąc  - dzień)                         (kier</w:t>
      </w:r>
      <w:r>
        <w:rPr>
          <w:rFonts w:ascii="Arial" w:hAnsi="Arial"/>
          <w:sz w:val="24"/>
          <w:szCs w:val="24"/>
        </w:rPr>
        <w:t>ownik jednostki)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360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d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e7d73"/>
    <w:rPr>
      <w:rFonts w:ascii="Times New Roman" w:hAnsi="Times New Roman" w:eastAsia="Times New Roman" w:cs="Times New Roman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3a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1e7d73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3a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LibreOffice/6.0.5.2$Windows_x86 LibreOffice_project/54c8cbb85f300ac59db32fe8a675ff7683cd5a16</Application>
  <Pages>2</Pages>
  <Words>319</Words>
  <Characters>1854</Characters>
  <CharactersWithSpaces>2146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2022-02-21T14:00:00Z</dcterms:created>
  <dc:creator>PM16</dc:creator>
  <dc:description/>
  <dc:language>pl-PL</dc:language>
  <cp:lastModifiedBy/>
  <cp:lastPrinted>2022-03-02T10:45:00Z</cp:lastPrinted>
  <dcterms:modified xsi:type="dcterms:W3CDTF">2022-05-06T09:23:16Z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