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tLeast" w:line="285" w:before="280" w:after="28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ZESTAWIENIE ZMIAN W FUNDUSZU</w:t>
      </w:r>
      <w:r>
        <w:rPr>
          <w:rFonts w:cs="Arial" w:ascii="Arial" w:hAnsi="Arial"/>
          <w:b/>
          <w:bCs/>
          <w:sz w:val="24"/>
          <w:szCs w:val="24"/>
        </w:rPr>
        <w:t xml:space="preserve"> JEDNOSTKI</w:t>
      </w:r>
    </w:p>
    <w:tbl>
      <w:tblPr>
        <w:tblW w:w="9892" w:type="dxa"/>
        <w:jc w:val="center"/>
        <w:tblInd w:w="0" w:type="dxa"/>
        <w:tblBorders/>
        <w:tblCellMar>
          <w:top w:w="60" w:type="dxa"/>
          <w:left w:w="82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590"/>
        <w:gridCol w:w="2290"/>
        <w:gridCol w:w="3289"/>
        <w:gridCol w:w="1"/>
        <w:gridCol w:w="360"/>
        <w:gridCol w:w="1439"/>
        <w:gridCol w:w="1"/>
        <w:gridCol w:w="1921"/>
      </w:tblGrid>
      <w:tr>
        <w:trPr/>
        <w:tc>
          <w:tcPr>
            <w:tcW w:w="9891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28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 xml:space="preserve">Nazwa i adres </w:t>
            </w:r>
            <w:r>
              <w:rPr>
                <w:rFonts w:eastAsia="Arial Unicode MS" w:ascii="Arial" w:hAnsi="Arial"/>
                <w:sz w:val="24"/>
                <w:szCs w:val="24"/>
                <w:lang w:eastAsia="en-US"/>
              </w:rPr>
              <w:t>jednostki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 sprawozdawczej </w:t>
            </w:r>
          </w:p>
          <w:p>
            <w:pPr>
              <w:pStyle w:val="Normal"/>
              <w:spacing w:lineRule="auto" w:line="360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ŻŁOBEK MIEJSKI WESOŁA ŁĄKA</w:t>
              <w:br/>
              <w:t>Numer identyfikacyjny REGON</w:t>
            </w:r>
          </w:p>
        </w:tc>
        <w:tc>
          <w:tcPr>
            <w:tcW w:w="36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4"/>
                <w:szCs w:val="24"/>
                <w:lang w:eastAsia="en-US"/>
              </w:rPr>
              <w:t>Zestawienie zmian </w:t>
              <w:br/>
              <w:t xml:space="preserve">w funduszu </w:t>
            </w:r>
            <w:r>
              <w:rPr>
                <w:rFonts w:eastAsia="Arial Unicode MS" w:ascii="Arial" w:hAnsi="Arial"/>
                <w:b/>
                <w:sz w:val="24"/>
                <w:szCs w:val="24"/>
                <w:lang w:eastAsia="en-US"/>
              </w:rPr>
              <w:t xml:space="preserve">jednostki </w:t>
            </w:r>
            <w:r>
              <w:rPr>
                <w:rFonts w:ascii="Arial" w:hAnsi="Arial"/>
                <w:b/>
                <w:sz w:val="24"/>
                <w:szCs w:val="24"/>
                <w:lang w:eastAsia="en-US"/>
              </w:rPr>
              <w:br/>
              <w:t>sporządzone </w:t>
              <w:br/>
              <w:t>na dzień 31.12.2018 r.</w:t>
            </w:r>
          </w:p>
        </w:tc>
        <w:tc>
          <w:tcPr>
            <w:tcW w:w="336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Artykulwyszukiwarkadzieckobold"/>
              <w:spacing w:lineRule="auto" w:line="360" w:before="280" w:after="28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 w:ascii="Arial" w:hAnsi="Arial"/>
                <w:b w:val="false"/>
                <w:bCs w:val="false"/>
                <w:color w:val="auto"/>
                <w:sz w:val="24"/>
                <w:szCs w:val="24"/>
                <w:lang w:eastAsia="en-US"/>
              </w:rPr>
              <w:t>Urząd Miasta Kutno Wydział Finansów i Budżetu</w:t>
            </w:r>
          </w:p>
          <w:p>
            <w:pPr>
              <w:pStyle w:val="Artykulwyszukiwarkadzieckobold"/>
              <w:spacing w:lineRule="auto" w:line="360" w:before="280" w:after="28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 w:ascii="Arial" w:hAnsi="Arial"/>
                <w:b w:val="false"/>
                <w:bCs w:val="false"/>
                <w:color w:val="000000"/>
                <w:sz w:val="24"/>
                <w:szCs w:val="24"/>
                <w:lang w:eastAsia="en-US"/>
              </w:rPr>
              <w:t>Wysłać bez pisma przewodniego</w:t>
            </w:r>
          </w:p>
        </w:tc>
      </w:tr>
      <w:tr>
        <w:trPr/>
        <w:tc>
          <w:tcPr>
            <w:tcW w:w="61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Divzmiananaglowek"/>
              <w:spacing w:lineRule="auto" w:line="360" w:beforeAutospacing="0" w:before="0" w:afterAutospacing="0" w:after="0"/>
              <w:rPr>
                <w:rFonts w:ascii="Times New Roman" w:hAnsi="Times New Roman" w:eastAsia="Times New Roman" w:cs="Times New Roman"/>
                <w:sz w:val="18"/>
                <w:lang w:eastAsia="en-US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Stan na koniec roku poprzedniego</w:t>
            </w:r>
          </w:p>
        </w:tc>
        <w:tc>
          <w:tcPr>
            <w:tcW w:w="19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Stan na koniec roku bieżącego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US"/>
              </w:rPr>
              <w:t>I. 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Fundusz </w:t>
            </w:r>
            <w:r>
              <w:rPr>
                <w:rFonts w:eastAsia="Arial Unicode MS" w:ascii="Arial" w:hAnsi="Arial"/>
                <w:sz w:val="24"/>
                <w:szCs w:val="24"/>
                <w:lang w:eastAsia="en-US"/>
              </w:rPr>
              <w:t xml:space="preserve">jednostki 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na początek okresu (BO) 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Divzmiananaglowek"/>
              <w:spacing w:lineRule="auto" w:line="360" w:beforeAutospacing="0" w:before="0" w:afterAutospacing="0" w:after="0"/>
              <w:rPr>
                <w:rFonts w:ascii="Times New Roman" w:hAnsi="Times New Roman" w:eastAsia="Times New Roman" w:cs="Times New Roman"/>
                <w:sz w:val="18"/>
                <w:lang w:eastAsia="en-US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en-US"/>
              </w:rPr>
              <w:t>1. 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Zwiększenie funduszu (z tytułu) 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179 369,00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Zysk bilansowy za rok ubiegły 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Zrealizowane wydatki </w:t>
            </w:r>
            <w:r>
              <w:rPr>
                <w:rFonts w:eastAsia="Arial Unicode MS" w:ascii="Arial" w:hAnsi="Arial"/>
                <w:sz w:val="24"/>
                <w:szCs w:val="24"/>
                <w:lang w:eastAsia="en-US"/>
              </w:rPr>
              <w:t>budżetowe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179 369,00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Zrealizowane płatności ze środków europejskich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Środki na inwestycje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Aktualizacja wyceny środków trwałych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Nieodpłatnie otrzymane środki trwałe i środki trwałe w budowie oraz wartości niematerialne i prawne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Aktywa przejęte od zlikwidowanych lub połączonych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Arial Unicode MS" w:ascii="Arial" w:hAnsi="Arial"/>
                <w:sz w:val="24"/>
                <w:szCs w:val="24"/>
                <w:lang w:eastAsia="en-US"/>
              </w:rPr>
              <w:t>jednostek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Aktywa otrzymane w ramach centralnego zaopatrzenia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Pozostałe odpisy z wyniku finansowego za rok bieżący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1.10.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Inne zwiększenia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Zmniejszenia funduszu </w:t>
            </w:r>
            <w:r>
              <w:rPr>
                <w:rFonts w:eastAsia="Arial Unicode MS" w:ascii="Arial" w:hAnsi="Arial"/>
                <w:sz w:val="24"/>
                <w:szCs w:val="24"/>
                <w:lang w:eastAsia="en-US"/>
              </w:rPr>
              <w:t>jednostki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4 075,12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Strata za rok ubiegły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Zrealizowane dochody </w:t>
            </w:r>
            <w:r>
              <w:rPr>
                <w:rFonts w:eastAsia="Arial Unicode MS" w:ascii="Arial" w:hAnsi="Arial"/>
                <w:sz w:val="24"/>
                <w:szCs w:val="24"/>
                <w:lang w:eastAsia="en-US"/>
              </w:rPr>
              <w:t>budżetowe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4 075,12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 xml:space="preserve">Rozliczenie wyniku finansowego i środków obrotowych za rok ubiegły 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Dotacje i środki na inwestycje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Aktualizacja wyceny środków trwałych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 xml:space="preserve">Wartość sprzedanych i nieodpłatnie przekazanych środków trwałych i środków trwałych w budowie oraz wartości niematerialnych o prawnych 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Pasywa przejęte od zlikwidowanych lub połączonych </w:t>
            </w:r>
            <w:r>
              <w:rPr>
                <w:rFonts w:eastAsia="Arial Unicode MS" w:ascii="Arial" w:hAnsi="Arial"/>
                <w:sz w:val="24"/>
                <w:szCs w:val="24"/>
                <w:lang w:eastAsia="en-US"/>
              </w:rPr>
              <w:t>jednostek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Aktywa przekazywane  w ramach centralnego zaopatrzenia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Inne zmniejszenia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US"/>
              </w:rPr>
              <w:t>II.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Fundusz </w:t>
            </w:r>
            <w:r>
              <w:rPr>
                <w:rFonts w:eastAsia="Arial Unicode MS" w:ascii="Arial" w:hAnsi="Arial"/>
                <w:b/>
                <w:sz w:val="24"/>
                <w:szCs w:val="24"/>
                <w:lang w:eastAsia="en-US"/>
              </w:rPr>
              <w:t>jednostki</w:t>
            </w:r>
            <w:r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na koniec okresu (BZ) 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175 293,88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US"/>
              </w:rPr>
              <w:t>III. 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US"/>
              </w:rPr>
              <w:t>Wynik finansowy netto za rok bieżący (+, -) 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- 183 627,11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zysk netto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strata netto (-)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- 183 627,11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Nadwyżka środków obrotowych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US"/>
              </w:rPr>
              <w:t>IV. 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US"/>
              </w:rPr>
              <w:t>Fundusz(poz. II+, - III ) 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- 8 333,23</w:t>
            </w:r>
          </w:p>
        </w:tc>
      </w:tr>
    </w:tbl>
    <w:p>
      <w:pPr>
        <w:pStyle w:val="Normal"/>
        <w:spacing w:lineRule="atLeast" w:line="285"/>
        <w:ind w:hanging="0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br/>
        <w:t>Sylwia Krawczyk                       2019-03-07                                  Mał</w:t>
      </w:r>
      <w:bookmarkStart w:id="0" w:name="_GoBack"/>
      <w:bookmarkEnd w:id="0"/>
      <w:r>
        <w:rPr>
          <w:rFonts w:ascii="Arial" w:hAnsi="Arial"/>
          <w:color w:val="000000"/>
          <w:sz w:val="24"/>
          <w:szCs w:val="24"/>
        </w:rPr>
        <w:t>gorzata Nowicka</w:t>
      </w:r>
    </w:p>
    <w:tbl>
      <w:tblPr>
        <w:tblW w:w="7650" w:type="dxa"/>
        <w:jc w:val="center"/>
        <w:tblInd w:w="0" w:type="dxa"/>
        <w:tblBorders/>
        <w:tblCellMar>
          <w:top w:w="60" w:type="dxa"/>
          <w:left w:w="60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2470"/>
        <w:gridCol w:w="2589"/>
        <w:gridCol w:w="2591"/>
      </w:tblGrid>
      <w:tr>
        <w:trPr/>
        <w:tc>
          <w:tcPr>
            <w:tcW w:w="2470" w:type="dxa"/>
            <w:tcBorders/>
            <w:shd w:fill="auto" w:val="clear"/>
          </w:tcPr>
          <w:p>
            <w:pPr>
              <w:pStyle w:val="Normal"/>
              <w:spacing w:lineRule="atLeast" w:line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. . . . . . . . . . . . . . . . . . . .</w:t>
              <w:br/>
              <w:t>(główny księgowy) </w:t>
            </w:r>
          </w:p>
        </w:tc>
        <w:tc>
          <w:tcPr>
            <w:tcW w:w="2589" w:type="dxa"/>
            <w:tcBorders/>
            <w:shd w:fill="auto" w:val="clear"/>
          </w:tcPr>
          <w:p>
            <w:pPr>
              <w:pStyle w:val="Normal"/>
              <w:spacing w:lineRule="atLeast" w:line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. . . . . . . . . . . . . . . . . . . . .</w:t>
              <w:br/>
              <w:t>(rok, miesiąc, dzień) </w:t>
            </w:r>
          </w:p>
        </w:tc>
        <w:tc>
          <w:tcPr>
            <w:tcW w:w="2591" w:type="dxa"/>
            <w:tcBorders/>
            <w:shd w:fill="auto" w:val="clear"/>
          </w:tcPr>
          <w:p>
            <w:pPr>
              <w:pStyle w:val="Normal"/>
              <w:spacing w:lineRule="atLeast" w:line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. . . . . . . . . . . . . . . . . . . . .</w:t>
              <w:br/>
              <w:t xml:space="preserve">(kierownik </w:t>
            </w:r>
            <w:r>
              <w:rPr>
                <w:rFonts w:eastAsia="Arial Unicode MS" w:ascii="Arial" w:hAnsi="Arial"/>
                <w:sz w:val="24"/>
                <w:szCs w:val="24"/>
                <w:lang w:eastAsia="en-US"/>
              </w:rPr>
              <w:t>jednostki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)</w:t>
            </w: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</w:tbl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a7d0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d0157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semiHidden/>
    <w:unhideWhenUsed/>
    <w:qFormat/>
    <w:rsid w:val="004a7d0c"/>
    <w:pP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Artykulwyszukiwarkadzieckobold" w:customStyle="1">
    <w:name w:val="artykulwyszukiwarkadzieckobold"/>
    <w:basedOn w:val="Normal"/>
    <w:semiHidden/>
    <w:qFormat/>
    <w:rsid w:val="004a7d0c"/>
    <w:pPr>
      <w:spacing w:beforeAutospacing="1" w:afterAutospacing="1"/>
    </w:pPr>
    <w:rPr>
      <w:rFonts w:ascii="Tahoma" w:hAnsi="Tahoma" w:eastAsia="Arial Unicode MS" w:cs="Tahoma"/>
      <w:b/>
      <w:bCs/>
      <w:color w:val="444444"/>
      <w:sz w:val="18"/>
      <w:szCs w:val="18"/>
    </w:rPr>
  </w:style>
  <w:style w:type="paragraph" w:styleId="Divzmiananaglowek" w:customStyle="1">
    <w:name w:val="divzmiananaglowek"/>
    <w:basedOn w:val="Normal"/>
    <w:semiHidden/>
    <w:qFormat/>
    <w:rsid w:val="004a7d0c"/>
    <w:pPr>
      <w:spacing w:beforeAutospacing="1" w:afterAutospacing="1"/>
    </w:pPr>
    <w:rPr>
      <w:rFonts w:ascii="Arial" w:hAnsi="Arial" w:eastAsia="Arial Unicode MS" w:cs="Arial"/>
      <w:color w:val="000000"/>
      <w:sz w:val="16"/>
      <w:szCs w:val="16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d0157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LibreOffice/6.0.5.2$Windows_x86 LibreOffice_project/54c8cbb85f300ac59db32fe8a675ff7683cd5a16</Application>
  <Pages>2</Pages>
  <Words>323</Words>
  <Characters>1643</Characters>
  <CharactersWithSpaces>1969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2020-02-06T13:54:00Z</dcterms:created>
  <dc:creator>Sylwia</dc:creator>
  <dc:description/>
  <dc:language>pl-PL</dc:language>
  <cp:lastModifiedBy/>
  <cp:lastPrinted>2019-04-15T09:10:00Z</cp:lastPrinted>
  <dcterms:modified xsi:type="dcterms:W3CDTF">2022-05-06T10:04:47Z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